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B9B" w:rsidRPr="00695B9B" w:rsidRDefault="00695B9B" w:rsidP="00695B9B">
      <w:pPr>
        <w:spacing w:line="480" w:lineRule="auto"/>
        <w:rPr>
          <w:rFonts w:ascii="Times New Roman" w:hAnsi="Times New Roman" w:cs="Times New Roman"/>
          <w:b/>
          <w:sz w:val="24"/>
        </w:rPr>
      </w:pPr>
    </w:p>
    <w:p w:rsidR="00695B9B" w:rsidRPr="00695B9B" w:rsidRDefault="00695B9B" w:rsidP="00695B9B">
      <w:pPr>
        <w:spacing w:line="480" w:lineRule="auto"/>
        <w:rPr>
          <w:rFonts w:ascii="Times New Roman" w:hAnsi="Times New Roman" w:cs="Times New Roman"/>
          <w:b/>
          <w:sz w:val="24"/>
        </w:rPr>
      </w:pPr>
    </w:p>
    <w:p w:rsidR="00695B9B" w:rsidRPr="00695B9B" w:rsidRDefault="00695B9B" w:rsidP="00695B9B">
      <w:pPr>
        <w:spacing w:line="480" w:lineRule="auto"/>
        <w:rPr>
          <w:rFonts w:ascii="Times New Roman" w:hAnsi="Times New Roman" w:cs="Times New Roman"/>
          <w:b/>
          <w:sz w:val="24"/>
        </w:rPr>
      </w:pPr>
    </w:p>
    <w:p w:rsidR="00695B9B" w:rsidRPr="00695B9B" w:rsidRDefault="00695B9B" w:rsidP="00695B9B">
      <w:pPr>
        <w:spacing w:line="480" w:lineRule="auto"/>
        <w:rPr>
          <w:rFonts w:ascii="Times New Roman" w:hAnsi="Times New Roman" w:cs="Times New Roman"/>
          <w:b/>
          <w:sz w:val="24"/>
        </w:rPr>
      </w:pPr>
    </w:p>
    <w:p w:rsidR="00695B9B" w:rsidRPr="00695B9B" w:rsidRDefault="00695B9B" w:rsidP="00695B9B">
      <w:pPr>
        <w:spacing w:line="480" w:lineRule="auto"/>
        <w:rPr>
          <w:rFonts w:ascii="Times New Roman" w:hAnsi="Times New Roman" w:cs="Times New Roman"/>
          <w:b/>
          <w:sz w:val="24"/>
        </w:rPr>
      </w:pPr>
    </w:p>
    <w:p w:rsidR="00695B9B" w:rsidRPr="00695B9B" w:rsidRDefault="00695B9B" w:rsidP="00695B9B">
      <w:pPr>
        <w:spacing w:line="480" w:lineRule="auto"/>
        <w:jc w:val="center"/>
        <w:rPr>
          <w:rFonts w:ascii="Times New Roman" w:hAnsi="Times New Roman" w:cs="Times New Roman"/>
          <w:sz w:val="24"/>
        </w:rPr>
      </w:pPr>
      <w:r w:rsidRPr="00695B9B">
        <w:rPr>
          <w:rFonts w:ascii="Times New Roman" w:hAnsi="Times New Roman" w:cs="Times New Roman"/>
          <w:sz w:val="24"/>
        </w:rPr>
        <w:t>Role Play in Simulation to Engage Empathy</w:t>
      </w:r>
    </w:p>
    <w:p w:rsidR="00695B9B" w:rsidRPr="00695B9B" w:rsidRDefault="00695B9B" w:rsidP="00695B9B">
      <w:pPr>
        <w:spacing w:line="480" w:lineRule="auto"/>
        <w:jc w:val="center"/>
        <w:rPr>
          <w:rFonts w:ascii="Times New Roman" w:hAnsi="Times New Roman" w:cs="Times New Roman"/>
          <w:sz w:val="24"/>
        </w:rPr>
      </w:pPr>
      <w:r w:rsidRPr="00695B9B">
        <w:rPr>
          <w:rFonts w:ascii="Times New Roman" w:hAnsi="Times New Roman" w:cs="Times New Roman"/>
          <w:sz w:val="24"/>
        </w:rPr>
        <w:t>Name of Student</w:t>
      </w:r>
    </w:p>
    <w:p w:rsidR="00695B9B" w:rsidRPr="00695B9B" w:rsidRDefault="00695B9B" w:rsidP="00695B9B">
      <w:pPr>
        <w:spacing w:line="480" w:lineRule="auto"/>
        <w:jc w:val="center"/>
        <w:rPr>
          <w:rFonts w:ascii="Times New Roman" w:hAnsi="Times New Roman" w:cs="Times New Roman"/>
          <w:sz w:val="24"/>
        </w:rPr>
      </w:pPr>
      <w:r w:rsidRPr="00695B9B">
        <w:rPr>
          <w:rFonts w:ascii="Times New Roman" w:hAnsi="Times New Roman" w:cs="Times New Roman"/>
          <w:sz w:val="24"/>
        </w:rPr>
        <w:t>Name of Institution</w:t>
      </w:r>
    </w:p>
    <w:p w:rsidR="00695B9B" w:rsidRPr="00695B9B" w:rsidRDefault="00695B9B" w:rsidP="00695B9B">
      <w:pPr>
        <w:spacing w:line="480" w:lineRule="auto"/>
        <w:jc w:val="center"/>
        <w:rPr>
          <w:rFonts w:ascii="Times New Roman" w:hAnsi="Times New Roman" w:cs="Times New Roman"/>
          <w:b/>
          <w:sz w:val="24"/>
        </w:rPr>
      </w:pPr>
      <w:r w:rsidRPr="00695B9B">
        <w:rPr>
          <w:rFonts w:ascii="Times New Roman" w:hAnsi="Times New Roman" w:cs="Times New Roman"/>
          <w:sz w:val="24"/>
        </w:rPr>
        <w:t>Date</w:t>
      </w:r>
      <w:r w:rsidRPr="00695B9B">
        <w:rPr>
          <w:rFonts w:ascii="Times New Roman" w:hAnsi="Times New Roman" w:cs="Times New Roman"/>
          <w:b/>
          <w:sz w:val="24"/>
        </w:rPr>
        <w:t xml:space="preserve"> </w:t>
      </w:r>
      <w:r w:rsidRPr="00695B9B">
        <w:rPr>
          <w:rFonts w:ascii="Times New Roman" w:hAnsi="Times New Roman" w:cs="Times New Roman"/>
          <w:b/>
          <w:sz w:val="24"/>
        </w:rPr>
        <w:br w:type="page"/>
      </w:r>
    </w:p>
    <w:p w:rsidR="00695B9B" w:rsidRPr="00695B9B" w:rsidRDefault="00695B9B" w:rsidP="00695B9B">
      <w:pPr>
        <w:spacing w:line="480" w:lineRule="auto"/>
        <w:rPr>
          <w:rFonts w:ascii="Times New Roman" w:hAnsi="Times New Roman" w:cs="Times New Roman"/>
          <w:b/>
          <w:sz w:val="24"/>
        </w:rPr>
      </w:pPr>
      <w:r w:rsidRPr="00695B9B">
        <w:rPr>
          <w:rFonts w:ascii="Times New Roman" w:hAnsi="Times New Roman" w:cs="Times New Roman"/>
          <w:b/>
          <w:sz w:val="24"/>
        </w:rPr>
        <w:lastRenderedPageBreak/>
        <w:t>Title</w:t>
      </w:r>
    </w:p>
    <w:p w:rsidR="00695B9B" w:rsidRPr="00695B9B" w:rsidRDefault="00695B9B" w:rsidP="00695B9B">
      <w:pPr>
        <w:spacing w:line="480" w:lineRule="auto"/>
        <w:rPr>
          <w:rFonts w:ascii="Times New Roman" w:hAnsi="Times New Roman" w:cs="Times New Roman"/>
          <w:i/>
          <w:sz w:val="24"/>
        </w:rPr>
      </w:pPr>
      <w:r w:rsidRPr="00695B9B">
        <w:rPr>
          <w:rFonts w:ascii="Times New Roman" w:hAnsi="Times New Roman" w:cs="Times New Roman"/>
          <w:i/>
          <w:sz w:val="24"/>
        </w:rPr>
        <w:t>Does roleplay in simulation-based medical education improve undergraduate medical students' empathy?</w:t>
      </w:r>
    </w:p>
    <w:p w:rsidR="00695B9B" w:rsidRPr="00695B9B" w:rsidRDefault="00695B9B" w:rsidP="00695B9B">
      <w:pPr>
        <w:spacing w:line="480" w:lineRule="auto"/>
        <w:rPr>
          <w:rFonts w:ascii="Times New Roman" w:hAnsi="Times New Roman" w:cs="Times New Roman"/>
          <w:b/>
          <w:sz w:val="24"/>
        </w:rPr>
      </w:pPr>
      <w:r w:rsidRPr="00695B9B">
        <w:rPr>
          <w:rFonts w:ascii="Times New Roman" w:hAnsi="Times New Roman" w:cs="Times New Roman"/>
          <w:b/>
          <w:sz w:val="24"/>
        </w:rPr>
        <w:t>Background and literature</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The modern setting is having more pronounced obstacles to the practical to training of students of the pediatric faculty. There is a growing understanding of the ethical and legal considerations which are breeding tighter restrictions by the patients and their family members. The two facets can make use of their representative authority to deny the participation of medical students in the provision o medical care. The clinical students need to master both theoretical and practical illustrations, in the same chronological order (Bosse, Nickel, Huwendiek, Junger, Schultz, &amp; Nikendei, 2010). The former has easier environments to master than the later due to complexity of representing the variety of clinical situations applicable. The field of medicine, particularly surgery, requires the practitioners to develop manual skills. Simulation tactics provide the platforms whereby the medical education can assimilate clinical situations where the students learn practical applications (Bayne, Neukrug, Hays, &amp; Britton, 2013). The simulators eliminates the potential harm to the patients, and role play allows the students to perceive both the physicians' and the patients' side of the treatment. The tact is yet to be evaluated for its influence on the emotional connection or bond between the two parties (Acharya, Shukla, Acharya, Vagha, &amp; Vagha, 2014), and its influence on empathy from the students. Empathy requires a physical and sensory understanding which is completely difficult to teach tot students. </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The title of research presented a key concept the required in-depth comprehension. The databases whose information provided the literature for the topic include ProQuest, Google </w:t>
      </w:r>
      <w:r w:rsidRPr="00695B9B">
        <w:rPr>
          <w:rFonts w:ascii="Times New Roman" w:hAnsi="Times New Roman" w:cs="Times New Roman"/>
          <w:sz w:val="24"/>
        </w:rPr>
        <w:lastRenderedPageBreak/>
        <w:t xml:space="preserve">Scholar, Web of Science, and PubMed. The search took the form of a variation of key words, and their combination with Boolean operators yielded significant and appropriate research. The search terms adopted within the databases include roleplay, simulation-based, simulation learning, medical education, undergraduate students, and student's empathy. Proper comprehension required in-depth study of the articles found and seeking additional sources cited within the articles. </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There is the ongoing perception that simulation is a vital part of learning, and roleplay provides a vital aspect in adopting and reflecting on clinical practice. Treymane, Burdett and utecht found out that roleplay and simulation learning have an integral part in teaching nurses how the challenges that old people face (Bayne, Neukrug, Hays, &amp; Britton, 2013). The assessment provided paradigm s that assessed the elderly as an evolving adaptation to all aspect of being. The strategy was effective in exposing the nurses to the specific requirements mandated as necessary for the elderly, and structures (Bosse, Nickel, Huwendiek, Junger, Schultz, &amp; Nikendei, 2010). The study exposed to the nurses the need for placing the utmost significance to the needs of the elder people in the development, redevelopment, and design of the environments of healthcare. It is also crucial for all institutions of care to offer adequate and continued training to their staff that concerns that exposes them to the experiences of the elderly as patients (Nestel &amp; Teirney, 2007). As specific as the needs of the elderly patients are, the healthcare practitioners should engage in customizing the aspect of care to meet the same. The findings of the study demonstrate the effectiveness of role play and simulation based learning in engaging the students to reflect, assess and implement significance of relationships with patients. </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The medical environment also perceives simulation as a channel for creativity and innovation which challenges the student population on realistic emotional connection with the </w:t>
      </w:r>
      <w:r w:rsidRPr="00695B9B">
        <w:rPr>
          <w:rFonts w:ascii="Times New Roman" w:hAnsi="Times New Roman" w:cs="Times New Roman"/>
          <w:sz w:val="24"/>
        </w:rPr>
        <w:lastRenderedPageBreak/>
        <w:t xml:space="preserve">patients. In assessment or role play with peers against standardized patients, a study found the latter as more expensive and highly applicable in realistic training scenarios (Bosse, Nickel, Huwendiek, Junger, Schultz &amp; Nikendei, 2010). The study found the two methods as highly realistic and hence accepted as communication media within a learning environment. Peer role play made use of limited resources but was essential in undergraduate curricula and postgraduate setting (Verdonk, Rantzsch, de Vries, &amp; Houkes, 2014). Relying on realistic scenarios from previous studies was the critical aspect used to overcome the initial resistance that was expected for peer role play (Lim, et al., 2011). Peer role play was found as an integral aspect in perceiving the patients inner perspective. The assessment accounted for the professional phrasing and structure with higher emphasis on patients' perspective than clinical issues of providing feedback. </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The inner perspective of the patients was found as a critical instrument in understanding through the ambiguity of the communication situation. The study highlights the importance of standardized patients in the learning curricula for acquisition of specified and structured communication skills, and the influence of peer role play in exposing the students to the personal perception of the patients' concerns (Mirani, Shaikh, &amp; Tahir, 2019). The standards focused on in the medical field place more significance to the professional channels of communication created than on fostering of an emotional advantage through appreciating the concerns of the patient. Though the study focused on the development of skills from the student population, it was clear that the effectiveness of the peer role play technique is highly determined by the design involved and the variations in environment to offer highly realistic scenarios. The student populations have a higher regard for standardized patient scenarios that peer role play since the former was </w:t>
      </w:r>
      <w:r w:rsidRPr="00695B9B">
        <w:rPr>
          <w:rFonts w:ascii="Times New Roman" w:hAnsi="Times New Roman" w:cs="Times New Roman"/>
          <w:sz w:val="24"/>
        </w:rPr>
        <w:lastRenderedPageBreak/>
        <w:t xml:space="preserve">perceived as a more high-tech instrument. It is also probable to conclude the affinity for standardized patients emanates from the enjoyment from watching rather than participating. </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In the evaluation of the effectiveness of role play in simulation as a learning tactic, some perceive it is an intricate system that provides the learner with attitude and knowledge to influence real-life medical situations. The study insists on engaging the students in a varied learning environment and design to improve on efficiency (Brunero, Lamont, &amp; Coates, 2010). The study evaluated the necessity for instituting fully scripted scenarios, partially scripted, observers, or the design where the patient was scripted and the practitioner was handed their task (Bearman, Palermo, Allen, &amp; Williams, 2015). A common consideration in design is allowing the student population to rotate through roles in a single role play scenario, which influences their understanding and insight of both players. The design insisted on adopting the principles of Knowles (2005) for adult learning for role play. The principles include self-direction, need for the learner to know, problem-centered learning, and drawing from diverse experiences. </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As a form of teaching, role play provides the chance and forces the medical students to engage in issues addresses in traditional clinical training programs (Bayne, Neukrug, Hays, &amp; Britton, 2013, Lim, et al., 2011, Nestel &amp; Teirney, 2007). The strategy is highly effective in fostering empathy from the student population, and develops more in depth comprehension of the problem surrounding, and influential in providing the students with a variety of new perspectives. The tactic is also significant in better understanding the learning materials, and adopting them into clinical practice through a crucial connection to experienced and designed clinical cases. The role of empathy also requires a modicum of understanding or knowledge of the multi-faceted nature of issues within the medical realm and long-lasting retention capability of the learning material, in which role play education proved significant. Role play simulation </w:t>
      </w:r>
      <w:r w:rsidRPr="00695B9B">
        <w:rPr>
          <w:rFonts w:ascii="Times New Roman" w:hAnsi="Times New Roman" w:cs="Times New Roman"/>
          <w:sz w:val="24"/>
        </w:rPr>
        <w:lastRenderedPageBreak/>
        <w:t xml:space="preserve">also proved a vital aspect of boosting the courage of the student which facilitated proper communication with patients, and encouraged public speaking. One learning directive observed in Knowles (2005) is the influence of role play in simulation learning for the students to provide contrary or contradicting opinions within the design of the program. </w:t>
      </w:r>
    </w:p>
    <w:p w:rsidR="00695B9B" w:rsidRPr="00695B9B" w:rsidRDefault="00695B9B" w:rsidP="00695B9B">
      <w:pPr>
        <w:spacing w:line="480" w:lineRule="auto"/>
        <w:rPr>
          <w:rFonts w:ascii="Times New Roman" w:hAnsi="Times New Roman" w:cs="Times New Roman"/>
          <w:b/>
          <w:sz w:val="24"/>
        </w:rPr>
      </w:pPr>
      <w:r w:rsidRPr="00695B9B">
        <w:rPr>
          <w:rFonts w:ascii="Times New Roman" w:hAnsi="Times New Roman" w:cs="Times New Roman"/>
          <w:b/>
          <w:sz w:val="24"/>
        </w:rPr>
        <w:t>Aims</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The principle objective of the study was to assess the influence of role play in simulation based medical learning in fostering empathy for the student population. The structure of the study provided means of analysis through principles laid out by previous studies, and targeting at proving the same principles. The assessment accounted for the student population taking medicine as adult learners and as such, personal assessment of their drive and tendency towards learning affected their comprehension capabilities. The existing body of knowledge proved significant in providing critical literature for evaluation. The proposal of the study presents an opportunity for assessment of the medical student population to assess empathy levels. The context of empathy positively influences the physical and psychosocial outcomes thus facilitating treatment. Empathy is also therapeutic for patients fostering recovery, and for medical personnel through promoting empathetically understanding reducing stress and inducing personal growth. I am hoping that the structure and design adopted for the role play scenarios in learning foster medical empathy and an emotional connection between the two parties. To provide a more comprehensive understanding of the topic, the structure of the study sought to answer the following questions; </w:t>
      </w:r>
    </w:p>
    <w:p w:rsidR="00695B9B" w:rsidRPr="00695B9B" w:rsidRDefault="00695B9B" w:rsidP="00695B9B">
      <w:pPr>
        <w:pStyle w:val="ListParagraph"/>
        <w:numPr>
          <w:ilvl w:val="0"/>
          <w:numId w:val="2"/>
        </w:numPr>
        <w:spacing w:line="480" w:lineRule="auto"/>
        <w:rPr>
          <w:rFonts w:ascii="Times New Roman" w:hAnsi="Times New Roman" w:cs="Times New Roman"/>
          <w:sz w:val="24"/>
        </w:rPr>
      </w:pPr>
      <w:r w:rsidRPr="00695B9B">
        <w:rPr>
          <w:rFonts w:ascii="Times New Roman" w:hAnsi="Times New Roman" w:cs="Times New Roman"/>
          <w:sz w:val="24"/>
        </w:rPr>
        <w:t>What is the role of empathy in medical care?</w:t>
      </w:r>
    </w:p>
    <w:p w:rsidR="00695B9B" w:rsidRPr="00695B9B" w:rsidRDefault="00695B9B" w:rsidP="00695B9B">
      <w:pPr>
        <w:pStyle w:val="ListParagraph"/>
        <w:numPr>
          <w:ilvl w:val="0"/>
          <w:numId w:val="2"/>
        </w:numPr>
        <w:spacing w:line="480" w:lineRule="auto"/>
        <w:rPr>
          <w:rFonts w:ascii="Times New Roman" w:hAnsi="Times New Roman" w:cs="Times New Roman"/>
          <w:sz w:val="24"/>
        </w:rPr>
      </w:pPr>
      <w:r w:rsidRPr="00695B9B">
        <w:rPr>
          <w:rFonts w:ascii="Times New Roman" w:hAnsi="Times New Roman" w:cs="Times New Roman"/>
          <w:sz w:val="24"/>
        </w:rPr>
        <w:t>How does the design of the medical learning environment foster empathy?</w:t>
      </w:r>
    </w:p>
    <w:p w:rsidR="00695B9B" w:rsidRPr="00695B9B" w:rsidRDefault="00695B9B" w:rsidP="00695B9B">
      <w:pPr>
        <w:pStyle w:val="ListParagraph"/>
        <w:numPr>
          <w:ilvl w:val="0"/>
          <w:numId w:val="2"/>
        </w:numPr>
        <w:spacing w:line="480" w:lineRule="auto"/>
        <w:rPr>
          <w:rFonts w:ascii="Times New Roman" w:hAnsi="Times New Roman" w:cs="Times New Roman"/>
          <w:sz w:val="24"/>
        </w:rPr>
      </w:pPr>
      <w:r w:rsidRPr="00695B9B">
        <w:rPr>
          <w:rFonts w:ascii="Times New Roman" w:hAnsi="Times New Roman" w:cs="Times New Roman"/>
          <w:sz w:val="24"/>
        </w:rPr>
        <w:lastRenderedPageBreak/>
        <w:t xml:space="preserve">What is the role of students in role play simulation learning with regards to emotional connection to the patients? </w:t>
      </w:r>
    </w:p>
    <w:p w:rsidR="00695B9B" w:rsidRPr="00695B9B" w:rsidRDefault="00695B9B" w:rsidP="00695B9B">
      <w:pPr>
        <w:spacing w:line="480" w:lineRule="auto"/>
        <w:rPr>
          <w:rFonts w:ascii="Times New Roman" w:hAnsi="Times New Roman" w:cs="Times New Roman"/>
          <w:b/>
          <w:sz w:val="24"/>
        </w:rPr>
      </w:pPr>
      <w:r w:rsidRPr="00695B9B">
        <w:rPr>
          <w:rFonts w:ascii="Times New Roman" w:hAnsi="Times New Roman" w:cs="Times New Roman"/>
          <w:b/>
          <w:sz w:val="24"/>
        </w:rPr>
        <w:t>Methods</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The design of the study will make use of a sample population of final year medical students from the Strayer University. The sample selected will not be random, but the procedure will follow the stipulated guidelines for an experiment. The design will account for testing the student population whose role play will be to play the character of the patients in the simulation learning scenarios. The Jefferson Scale of Empathy for medical student will be the means of assessment for the targeted convinced population.  The sample population for the study involved 40 participants, all of whom signed for informed consent. They completed the Jefferson Scale for Empathy, JSE-S (version for students). The internal consistency noted for the JSE-S was 0.71, and the study calculated for percentage and frequency making use of the students' genders and ages. The continuous variables provided means to calculate the mean and standards deviation. The t-tests provided elements to calculate the empathy scores conducted prior to and after simulation. The significant level considered for the study was p&lt;0.05. </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The qualitative analysis part of the study used interview as the design method. The design was semi-structures and involved interviews before and after exposure to the simulation learning program. All the participants took part in this assessment. The transcription of the interview results conducted was done thematically. The guide for the interview adopted empirical literature, effort-recovery model, and gender theory. The principle focus for the evaluations accounted for the experiences of the population and perceived impact of the study method on empathy. To develop a guide for the semi-structured design of the interviews, the first </w:t>
      </w:r>
      <w:r w:rsidRPr="00695B9B">
        <w:rPr>
          <w:rFonts w:ascii="Times New Roman" w:hAnsi="Times New Roman" w:cs="Times New Roman"/>
          <w:sz w:val="24"/>
        </w:rPr>
        <w:lastRenderedPageBreak/>
        <w:t xml:space="preserve">participants were the Director of Education for the institution, whose feedback provides relevant context particular to Strayer University. The interview adopted a scripted format for all the students, and ensured every student participated through practice and observation. </w:t>
      </w:r>
    </w:p>
    <w:p w:rsidR="00695B9B" w:rsidRPr="00695B9B" w:rsidRDefault="00695B9B" w:rsidP="00695B9B">
      <w:pPr>
        <w:spacing w:line="480" w:lineRule="auto"/>
        <w:rPr>
          <w:rFonts w:ascii="Times New Roman" w:hAnsi="Times New Roman" w:cs="Times New Roman"/>
          <w:b/>
          <w:sz w:val="24"/>
        </w:rPr>
      </w:pPr>
      <w:r w:rsidRPr="00695B9B">
        <w:rPr>
          <w:rFonts w:ascii="Times New Roman" w:hAnsi="Times New Roman" w:cs="Times New Roman"/>
          <w:b/>
          <w:sz w:val="24"/>
        </w:rPr>
        <w:t xml:space="preserve">Analysis </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The mean calculated for their age was 21.25 with variation levels of 2.75, forming a range of 18 to 24 years. The mean empathy score for all the students accounted for in this part of the study was 98.11 and the standards deviation was 12.31. After categorization of the empathy score by gender, education and career preference, females demonstrated significantly higher empathy score. Among the students, the scores were much higher for the younger population. With assessment of career preference, those whose path reflected on people oriented futures demonstrated higher scores through evaluation of compassionate care, perspective taking, and walking in other people's shoes.</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Prior to exposure to simulation learning, the student population perceived the greatest impact on empathy of the simulation learning would be towards the female population. The students involved also thought the structure and the design was an ineffective means of ascertaining the level of empathy for the students and how it impacted medical practice. Though the necessity and hypothesis for the assessment was explained to them, the student populations did not see the value of the procedure. The test after exposure to the simulation exposed a different perspective. The female students demonstrated higher levels of empathy than the males. The context of the simulation also expressed altered results and findings. The highest recorded levels of empathy was from the students whose role was for critical diagnosis, while the students </w:t>
      </w:r>
      <w:r w:rsidRPr="00695B9B">
        <w:rPr>
          <w:rFonts w:ascii="Times New Roman" w:hAnsi="Times New Roman" w:cs="Times New Roman"/>
          <w:sz w:val="24"/>
        </w:rPr>
        <w:lastRenderedPageBreak/>
        <w:t xml:space="preserve">exposed to mild medical conditions had lower recordings for empathy. The most significant exposure recorded was during participation as compared to observation. </w:t>
      </w:r>
    </w:p>
    <w:p w:rsidR="00695B9B" w:rsidRPr="00695B9B" w:rsidRDefault="00695B9B" w:rsidP="00695B9B">
      <w:pPr>
        <w:spacing w:line="480" w:lineRule="auto"/>
        <w:rPr>
          <w:rFonts w:ascii="Times New Roman" w:hAnsi="Times New Roman" w:cs="Times New Roman"/>
          <w:b/>
          <w:sz w:val="24"/>
        </w:rPr>
      </w:pPr>
      <w:r w:rsidRPr="00695B9B">
        <w:rPr>
          <w:rFonts w:ascii="Times New Roman" w:hAnsi="Times New Roman" w:cs="Times New Roman"/>
          <w:b/>
          <w:sz w:val="24"/>
        </w:rPr>
        <w:t>Ethical Considerations</w:t>
      </w:r>
    </w:p>
    <w:p w:rsidR="00695B9B" w:rsidRPr="00695B9B" w:rsidRDefault="00695B9B" w:rsidP="00695B9B">
      <w:pPr>
        <w:spacing w:line="480" w:lineRule="auto"/>
        <w:ind w:firstLine="720"/>
        <w:rPr>
          <w:rFonts w:ascii="Times New Roman" w:hAnsi="Times New Roman" w:cs="Times New Roman"/>
          <w:sz w:val="24"/>
        </w:rPr>
      </w:pPr>
      <w:r w:rsidRPr="00695B9B">
        <w:rPr>
          <w:rFonts w:ascii="Times New Roman" w:hAnsi="Times New Roman" w:cs="Times New Roman"/>
          <w:sz w:val="24"/>
        </w:rPr>
        <w:t xml:space="preserve">The student population signed consent forms for the research, and were comprehensively informed of the study goals and hypothesis. None of the students was paid for participation, nor forced to comply. The study also allowed the students to withdraw their consent at any time without any prompts and questions. The interview sections conducted did not detail any personal details of the interviewees, and their contribution was anonymously maintained. Due to the long duration of the study, compliance with the school allowed for complimentary snacks for the participants. The structure of the interviews also included privacy to enable the participants to feel safe to contribute without criticism. </w:t>
      </w:r>
    </w:p>
    <w:p w:rsidR="00695B9B" w:rsidRPr="00695B9B" w:rsidRDefault="00695B9B" w:rsidP="00695B9B">
      <w:pPr>
        <w:spacing w:line="480" w:lineRule="auto"/>
        <w:rPr>
          <w:rFonts w:ascii="Times New Roman" w:hAnsi="Times New Roman" w:cs="Times New Roman"/>
          <w:sz w:val="24"/>
        </w:rPr>
      </w:pPr>
    </w:p>
    <w:p w:rsidR="00695B9B" w:rsidRPr="00695B9B" w:rsidRDefault="00695B9B" w:rsidP="00695B9B">
      <w:pPr>
        <w:spacing w:line="480" w:lineRule="auto"/>
        <w:rPr>
          <w:rFonts w:ascii="Times New Roman" w:hAnsi="Times New Roman" w:cs="Times New Roman"/>
          <w:sz w:val="24"/>
        </w:rPr>
      </w:pPr>
      <w:r w:rsidRPr="00695B9B">
        <w:rPr>
          <w:rFonts w:ascii="Times New Roman" w:hAnsi="Times New Roman" w:cs="Times New Roman"/>
          <w:sz w:val="24"/>
        </w:rPr>
        <w:br w:type="page"/>
      </w:r>
    </w:p>
    <w:p w:rsidR="00695B9B" w:rsidRPr="00695B9B" w:rsidRDefault="00695B9B" w:rsidP="00695B9B">
      <w:pPr>
        <w:spacing w:line="480" w:lineRule="auto"/>
        <w:jc w:val="center"/>
        <w:rPr>
          <w:rFonts w:ascii="Times New Roman" w:hAnsi="Times New Roman" w:cs="Times New Roman"/>
          <w:b/>
          <w:sz w:val="24"/>
        </w:rPr>
      </w:pPr>
      <w:r w:rsidRPr="00695B9B">
        <w:rPr>
          <w:rFonts w:ascii="Times New Roman" w:hAnsi="Times New Roman" w:cs="Times New Roman"/>
          <w:b/>
          <w:sz w:val="24"/>
        </w:rPr>
        <w:lastRenderedPageBreak/>
        <w:t>References</w:t>
      </w:r>
    </w:p>
    <w:p w:rsidR="00695B9B" w:rsidRPr="00695B9B" w:rsidRDefault="00695B9B" w:rsidP="00695B9B">
      <w:pPr>
        <w:spacing w:line="480" w:lineRule="auto"/>
        <w:ind w:left="720" w:hanging="720"/>
        <w:rPr>
          <w:rFonts w:ascii="Times New Roman" w:hAnsi="Times New Roman" w:cs="Times New Roman"/>
          <w:sz w:val="24"/>
        </w:rPr>
      </w:pPr>
      <w:r w:rsidRPr="00695B9B">
        <w:rPr>
          <w:rFonts w:ascii="Times New Roman" w:hAnsi="Times New Roman" w:cs="Times New Roman"/>
          <w:sz w:val="24"/>
        </w:rPr>
        <w:t>Acharya, S., Shukla, S., Acharya, N., Vagha, J., &amp; Vagha, J. (2014). Role play-an a useful tool to teach clinical medicine. Journal of Contemporary Medical Education, 23, 91-106.</w:t>
      </w:r>
    </w:p>
    <w:p w:rsidR="00695B9B" w:rsidRPr="00695B9B" w:rsidRDefault="00695B9B" w:rsidP="00695B9B">
      <w:pPr>
        <w:spacing w:line="480" w:lineRule="auto"/>
        <w:ind w:left="720" w:hanging="720"/>
        <w:rPr>
          <w:rFonts w:ascii="Times New Roman" w:hAnsi="Times New Roman" w:cs="Times New Roman"/>
          <w:sz w:val="24"/>
        </w:rPr>
      </w:pPr>
      <w:r w:rsidRPr="00695B9B">
        <w:rPr>
          <w:rFonts w:ascii="Times New Roman" w:hAnsi="Times New Roman" w:cs="Times New Roman"/>
          <w:sz w:val="24"/>
        </w:rPr>
        <w:t>Bayne, H., Neukrug, E., Hays, D., &amp; Britton, B. (2013). A comprehensive model for optimizing empathy in person-centered care. Patient Education and Counseling, 93 (2), 209-215.</w:t>
      </w:r>
    </w:p>
    <w:p w:rsidR="00695B9B" w:rsidRPr="00695B9B" w:rsidRDefault="00695B9B" w:rsidP="00695B9B">
      <w:pPr>
        <w:spacing w:line="480" w:lineRule="auto"/>
        <w:ind w:left="720" w:hanging="720"/>
        <w:rPr>
          <w:rFonts w:ascii="Times New Roman" w:hAnsi="Times New Roman" w:cs="Times New Roman"/>
          <w:sz w:val="24"/>
        </w:rPr>
      </w:pPr>
      <w:r w:rsidRPr="00695B9B">
        <w:rPr>
          <w:rFonts w:ascii="Times New Roman" w:hAnsi="Times New Roman" w:cs="Times New Roman"/>
          <w:sz w:val="24"/>
        </w:rPr>
        <w:t>Bearman, M., Palermo, C., Allen, L., &amp; Williams, B. (2015). Learning Empathy Through Simulation. Journal of the Society for Simulation in Healthcare, 10 (5), 308-319.</w:t>
      </w:r>
    </w:p>
    <w:p w:rsidR="00695B9B" w:rsidRPr="00695B9B" w:rsidRDefault="00695B9B" w:rsidP="00695B9B">
      <w:pPr>
        <w:spacing w:line="480" w:lineRule="auto"/>
        <w:ind w:left="720" w:hanging="720"/>
        <w:rPr>
          <w:rFonts w:ascii="Times New Roman" w:hAnsi="Times New Roman" w:cs="Times New Roman"/>
          <w:sz w:val="24"/>
        </w:rPr>
      </w:pPr>
      <w:r w:rsidRPr="00695B9B">
        <w:rPr>
          <w:rFonts w:ascii="Times New Roman" w:hAnsi="Times New Roman" w:cs="Times New Roman"/>
          <w:sz w:val="24"/>
        </w:rPr>
        <w:t>Bosse, H. M., Nickel, M., Huwendiek, S., Junger, J., Schultz, J. H., &amp; Nikendei, C. (2010). Peer role-play and standardized patients in communication training: a comparative study on the student perspective on acceptability, realism, and perceived effect. BMC Medical Education.</w:t>
      </w:r>
    </w:p>
    <w:p w:rsidR="00695B9B" w:rsidRPr="00695B9B" w:rsidRDefault="00695B9B" w:rsidP="00695B9B">
      <w:pPr>
        <w:spacing w:line="480" w:lineRule="auto"/>
        <w:ind w:left="720" w:hanging="720"/>
        <w:rPr>
          <w:rFonts w:ascii="Times New Roman" w:hAnsi="Times New Roman" w:cs="Times New Roman"/>
          <w:sz w:val="24"/>
        </w:rPr>
      </w:pPr>
      <w:r w:rsidRPr="00695B9B">
        <w:rPr>
          <w:rFonts w:ascii="Times New Roman" w:hAnsi="Times New Roman" w:cs="Times New Roman"/>
          <w:sz w:val="24"/>
        </w:rPr>
        <w:t>Brunero, S., Lamont, S., &amp; Coates, M. (2010). A review of empathy education in nursing. Nursing Inquiry.</w:t>
      </w:r>
    </w:p>
    <w:p w:rsidR="00695B9B" w:rsidRPr="00695B9B" w:rsidRDefault="00695B9B" w:rsidP="00695B9B">
      <w:pPr>
        <w:spacing w:line="480" w:lineRule="auto"/>
        <w:ind w:left="720" w:hanging="720"/>
        <w:rPr>
          <w:rFonts w:ascii="Times New Roman" w:hAnsi="Times New Roman" w:cs="Times New Roman"/>
          <w:sz w:val="24"/>
        </w:rPr>
      </w:pPr>
      <w:r w:rsidRPr="00695B9B">
        <w:rPr>
          <w:rFonts w:ascii="Times New Roman" w:hAnsi="Times New Roman" w:cs="Times New Roman"/>
          <w:sz w:val="24"/>
        </w:rPr>
        <w:t>Lim, M. Y., Leichtenstern, K., Kriegel, M., Enz, S., Aylett, R., Vannini, N., et al. (2011). Technology-enhanced role-plays for social and emotional learning context – Intercultural empathy. Entertainment Computing, 2 (4), 223-231.</w:t>
      </w:r>
    </w:p>
    <w:p w:rsidR="00695B9B" w:rsidRPr="00695B9B" w:rsidRDefault="00695B9B" w:rsidP="00695B9B">
      <w:pPr>
        <w:spacing w:line="480" w:lineRule="auto"/>
        <w:ind w:left="720" w:hanging="720"/>
        <w:rPr>
          <w:rFonts w:ascii="Times New Roman" w:hAnsi="Times New Roman" w:cs="Times New Roman"/>
          <w:sz w:val="24"/>
        </w:rPr>
      </w:pPr>
      <w:r w:rsidRPr="00695B9B">
        <w:rPr>
          <w:rFonts w:ascii="Times New Roman" w:hAnsi="Times New Roman" w:cs="Times New Roman"/>
          <w:sz w:val="24"/>
        </w:rPr>
        <w:t>Mirani, S. H., Shaikh, N. A., &amp; Tahir, A. (2019). Assessment of Clinical Empathy Among Medical Students Using the Jefferson Scale of Empathy-Student Version. Cureus, 11 (2).</w:t>
      </w:r>
    </w:p>
    <w:p w:rsidR="00695B9B" w:rsidRPr="00695B9B" w:rsidRDefault="00695B9B" w:rsidP="00695B9B">
      <w:pPr>
        <w:spacing w:line="480" w:lineRule="auto"/>
        <w:ind w:left="720" w:hanging="720"/>
        <w:rPr>
          <w:rFonts w:ascii="Times New Roman" w:hAnsi="Times New Roman" w:cs="Times New Roman"/>
          <w:sz w:val="24"/>
        </w:rPr>
      </w:pPr>
      <w:r w:rsidRPr="00695B9B">
        <w:rPr>
          <w:rFonts w:ascii="Times New Roman" w:hAnsi="Times New Roman" w:cs="Times New Roman"/>
          <w:sz w:val="24"/>
        </w:rPr>
        <w:t>Nestel, D., &amp; Teirney, T. (2007). Role-play for medical students learning about communication: guidelines for maximizing benefits. BMC medical education, 7 (1), 3.</w:t>
      </w:r>
    </w:p>
    <w:p w:rsidR="00695B9B" w:rsidRPr="00695B9B" w:rsidRDefault="00695B9B" w:rsidP="00695B9B">
      <w:pPr>
        <w:spacing w:line="480" w:lineRule="auto"/>
        <w:ind w:left="720" w:hanging="720"/>
        <w:rPr>
          <w:rFonts w:ascii="Times New Roman" w:hAnsi="Times New Roman" w:cs="Times New Roman"/>
          <w:sz w:val="24"/>
        </w:rPr>
      </w:pPr>
      <w:r w:rsidRPr="00695B9B">
        <w:rPr>
          <w:rFonts w:ascii="Times New Roman" w:hAnsi="Times New Roman" w:cs="Times New Roman"/>
          <w:sz w:val="24"/>
        </w:rPr>
        <w:lastRenderedPageBreak/>
        <w:t>Verdonk, P., Rantzsch, V., de Vries, R., &amp; Houkes, I. (2014). Show what you know and deal with stress yourself: a qualitative interview study of medical interns' perceptions of weight and gender. BMC Medical Education, 14 (96).</w:t>
      </w:r>
    </w:p>
    <w:p w:rsidR="00CD792B" w:rsidRPr="00695B9B" w:rsidRDefault="00CD792B" w:rsidP="00695B9B">
      <w:pPr>
        <w:spacing w:line="480" w:lineRule="auto"/>
        <w:rPr>
          <w:rFonts w:ascii="Times New Roman" w:hAnsi="Times New Roman" w:cs="Times New Roman"/>
          <w:sz w:val="24"/>
        </w:rPr>
      </w:pPr>
    </w:p>
    <w:sectPr w:rsidR="00CD792B" w:rsidRPr="00695B9B" w:rsidSect="00695B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DE6" w:rsidRDefault="001D6DE6" w:rsidP="00695B9B">
      <w:pPr>
        <w:spacing w:after="0" w:line="240" w:lineRule="auto"/>
      </w:pPr>
      <w:r>
        <w:separator/>
      </w:r>
    </w:p>
  </w:endnote>
  <w:endnote w:type="continuationSeparator" w:id="1">
    <w:p w:rsidR="001D6DE6" w:rsidRDefault="001D6DE6" w:rsidP="00695B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DE6" w:rsidRDefault="001D6DE6" w:rsidP="00695B9B">
      <w:pPr>
        <w:spacing w:after="0" w:line="240" w:lineRule="auto"/>
      </w:pPr>
      <w:r>
        <w:separator/>
      </w:r>
    </w:p>
  </w:footnote>
  <w:footnote w:type="continuationSeparator" w:id="1">
    <w:p w:rsidR="001D6DE6" w:rsidRDefault="001D6DE6" w:rsidP="00695B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B9B" w:rsidRPr="00695B9B" w:rsidRDefault="00695B9B">
    <w:pPr>
      <w:pStyle w:val="Header"/>
      <w:jc w:val="right"/>
      <w:rPr>
        <w:rFonts w:ascii="Times New Roman" w:hAnsi="Times New Roman" w:cs="Times New Roman"/>
        <w:sz w:val="24"/>
      </w:rPr>
    </w:pPr>
    <w:r w:rsidRPr="00695B9B">
      <w:rPr>
        <w:rFonts w:ascii="Times New Roman" w:hAnsi="Times New Roman" w:cs="Times New Roman"/>
        <w:sz w:val="24"/>
      </w:rPr>
      <w:t>ROLE PLAY I</w:t>
    </w:r>
    <w:r>
      <w:rPr>
        <w:rFonts w:ascii="Times New Roman" w:hAnsi="Times New Roman" w:cs="Times New Roman"/>
        <w:sz w:val="24"/>
      </w:rPr>
      <w:t>N</w:t>
    </w:r>
    <w:r w:rsidRPr="00695B9B">
      <w:rPr>
        <w:rFonts w:ascii="Times New Roman" w:hAnsi="Times New Roman" w:cs="Times New Roman"/>
        <w:sz w:val="24"/>
      </w:rPr>
      <w:t xml:space="preserve"> SIMULATION TO ENGAGE EMPATHY</w:t>
    </w:r>
    <w:r w:rsidRPr="00695B9B">
      <w:rPr>
        <w:rFonts w:ascii="Times New Roman" w:hAnsi="Times New Roman" w:cs="Times New Roman"/>
        <w:sz w:val="24"/>
      </w:rPr>
      <w:tab/>
    </w:r>
    <w:sdt>
      <w:sdtPr>
        <w:rPr>
          <w:rFonts w:ascii="Times New Roman" w:hAnsi="Times New Roman" w:cs="Times New Roman"/>
          <w:sz w:val="24"/>
        </w:rPr>
        <w:id w:val="146234940"/>
        <w:docPartObj>
          <w:docPartGallery w:val="Page Numbers (Top of Page)"/>
          <w:docPartUnique/>
        </w:docPartObj>
      </w:sdtPr>
      <w:sdtContent>
        <w:r w:rsidRPr="00695B9B">
          <w:rPr>
            <w:rFonts w:ascii="Times New Roman" w:hAnsi="Times New Roman" w:cs="Times New Roman"/>
            <w:sz w:val="24"/>
          </w:rPr>
          <w:fldChar w:fldCharType="begin"/>
        </w:r>
        <w:r w:rsidRPr="00695B9B">
          <w:rPr>
            <w:rFonts w:ascii="Times New Roman" w:hAnsi="Times New Roman" w:cs="Times New Roman"/>
            <w:sz w:val="24"/>
          </w:rPr>
          <w:instrText xml:space="preserve"> PAGE   \* MERGEFORMAT </w:instrText>
        </w:r>
        <w:r w:rsidRPr="00695B9B">
          <w:rPr>
            <w:rFonts w:ascii="Times New Roman" w:hAnsi="Times New Roman" w:cs="Times New Roman"/>
            <w:sz w:val="24"/>
          </w:rPr>
          <w:fldChar w:fldCharType="separate"/>
        </w:r>
        <w:r>
          <w:rPr>
            <w:rFonts w:ascii="Times New Roman" w:hAnsi="Times New Roman" w:cs="Times New Roman"/>
            <w:noProof/>
            <w:sz w:val="24"/>
          </w:rPr>
          <w:t>11</w:t>
        </w:r>
        <w:r w:rsidRPr="00695B9B">
          <w:rPr>
            <w:rFonts w:ascii="Times New Roman" w:hAnsi="Times New Roman" w:cs="Times New Roman"/>
            <w:sz w:val="24"/>
          </w:rPr>
          <w:fldChar w:fldCharType="end"/>
        </w:r>
      </w:sdtContent>
    </w:sdt>
  </w:p>
  <w:p w:rsidR="00695B9B" w:rsidRPr="00695B9B" w:rsidRDefault="00695B9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B9B" w:rsidRPr="00695B9B" w:rsidRDefault="00695B9B">
    <w:pPr>
      <w:pStyle w:val="Header"/>
      <w:jc w:val="right"/>
      <w:rPr>
        <w:rFonts w:ascii="Times New Roman" w:hAnsi="Times New Roman" w:cs="Times New Roman"/>
        <w:sz w:val="24"/>
      </w:rPr>
    </w:pPr>
    <w:r w:rsidRPr="00695B9B">
      <w:rPr>
        <w:rFonts w:ascii="Times New Roman" w:hAnsi="Times New Roman" w:cs="Times New Roman"/>
        <w:sz w:val="24"/>
      </w:rPr>
      <w:t>Running Head: ROLE PLAY I</w:t>
    </w:r>
    <w:r>
      <w:rPr>
        <w:rFonts w:ascii="Times New Roman" w:hAnsi="Times New Roman" w:cs="Times New Roman"/>
        <w:sz w:val="24"/>
      </w:rPr>
      <w:t>N</w:t>
    </w:r>
    <w:r w:rsidRPr="00695B9B">
      <w:rPr>
        <w:rFonts w:ascii="Times New Roman" w:hAnsi="Times New Roman" w:cs="Times New Roman"/>
        <w:sz w:val="24"/>
      </w:rPr>
      <w:t xml:space="preserve"> SIMULATION TO ENGAGE EMPATHY </w:t>
    </w:r>
    <w:r w:rsidRPr="00695B9B">
      <w:rPr>
        <w:rFonts w:ascii="Times New Roman" w:hAnsi="Times New Roman" w:cs="Times New Roman"/>
        <w:sz w:val="24"/>
      </w:rPr>
      <w:tab/>
    </w:r>
    <w:sdt>
      <w:sdtPr>
        <w:rPr>
          <w:rFonts w:ascii="Times New Roman" w:hAnsi="Times New Roman" w:cs="Times New Roman"/>
          <w:sz w:val="24"/>
        </w:rPr>
        <w:id w:val="146234989"/>
        <w:docPartObj>
          <w:docPartGallery w:val="Page Numbers (Top of Page)"/>
          <w:docPartUnique/>
        </w:docPartObj>
      </w:sdtPr>
      <w:sdtContent>
        <w:r w:rsidRPr="00695B9B">
          <w:rPr>
            <w:rFonts w:ascii="Times New Roman" w:hAnsi="Times New Roman" w:cs="Times New Roman"/>
            <w:sz w:val="24"/>
          </w:rPr>
          <w:fldChar w:fldCharType="begin"/>
        </w:r>
        <w:r w:rsidRPr="00695B9B">
          <w:rPr>
            <w:rFonts w:ascii="Times New Roman" w:hAnsi="Times New Roman" w:cs="Times New Roman"/>
            <w:sz w:val="24"/>
          </w:rPr>
          <w:instrText xml:space="preserve"> PAGE   \* MERGEFORMAT </w:instrText>
        </w:r>
        <w:r w:rsidRPr="00695B9B">
          <w:rPr>
            <w:rFonts w:ascii="Times New Roman" w:hAnsi="Times New Roman" w:cs="Times New Roman"/>
            <w:sz w:val="24"/>
          </w:rPr>
          <w:fldChar w:fldCharType="separate"/>
        </w:r>
        <w:r>
          <w:rPr>
            <w:rFonts w:ascii="Times New Roman" w:hAnsi="Times New Roman" w:cs="Times New Roman"/>
            <w:noProof/>
            <w:sz w:val="24"/>
          </w:rPr>
          <w:t>1</w:t>
        </w:r>
        <w:r w:rsidRPr="00695B9B">
          <w:rPr>
            <w:rFonts w:ascii="Times New Roman" w:hAnsi="Times New Roman" w:cs="Times New Roman"/>
            <w:sz w:val="24"/>
          </w:rPr>
          <w:fldChar w:fldCharType="end"/>
        </w:r>
      </w:sdtContent>
    </w:sdt>
  </w:p>
  <w:p w:rsidR="00695B9B" w:rsidRPr="00695B9B" w:rsidRDefault="00695B9B">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81524"/>
    <w:multiLevelType w:val="hybridMultilevel"/>
    <w:tmpl w:val="6E4A70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0475DD"/>
    <w:multiLevelType w:val="hybridMultilevel"/>
    <w:tmpl w:val="E19A7A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54A24"/>
    <w:rsid w:val="00054A24"/>
    <w:rsid w:val="00184888"/>
    <w:rsid w:val="00196C34"/>
    <w:rsid w:val="001D07F8"/>
    <w:rsid w:val="001D6DE6"/>
    <w:rsid w:val="00293785"/>
    <w:rsid w:val="0031738C"/>
    <w:rsid w:val="003865E4"/>
    <w:rsid w:val="00477D30"/>
    <w:rsid w:val="00545ABD"/>
    <w:rsid w:val="00654021"/>
    <w:rsid w:val="00695B9B"/>
    <w:rsid w:val="007A062B"/>
    <w:rsid w:val="008927D6"/>
    <w:rsid w:val="009A21A0"/>
    <w:rsid w:val="00A255EE"/>
    <w:rsid w:val="00A81514"/>
    <w:rsid w:val="00AF2FE9"/>
    <w:rsid w:val="00B81E83"/>
    <w:rsid w:val="00C55B67"/>
    <w:rsid w:val="00C94D88"/>
    <w:rsid w:val="00CA6218"/>
    <w:rsid w:val="00CD792B"/>
    <w:rsid w:val="00CE7D85"/>
    <w:rsid w:val="00D21A91"/>
    <w:rsid w:val="00DD494C"/>
    <w:rsid w:val="00E97EBC"/>
    <w:rsid w:val="00F4402D"/>
    <w:rsid w:val="00FA57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21A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A91"/>
    <w:pPr>
      <w:ind w:left="720"/>
      <w:contextualSpacing/>
    </w:pPr>
  </w:style>
  <w:style w:type="paragraph" w:styleId="BalloonText">
    <w:name w:val="Balloon Text"/>
    <w:basedOn w:val="Normal"/>
    <w:link w:val="BalloonTextChar"/>
    <w:uiPriority w:val="99"/>
    <w:semiHidden/>
    <w:unhideWhenUsed/>
    <w:rsid w:val="00CD7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92B"/>
    <w:rPr>
      <w:rFonts w:ascii="Tahoma" w:hAnsi="Tahoma" w:cs="Tahoma"/>
      <w:sz w:val="16"/>
      <w:szCs w:val="16"/>
    </w:rPr>
  </w:style>
  <w:style w:type="character" w:customStyle="1" w:styleId="Heading1Char">
    <w:name w:val="Heading 1 Char"/>
    <w:basedOn w:val="DefaultParagraphFont"/>
    <w:link w:val="Heading1"/>
    <w:uiPriority w:val="9"/>
    <w:rsid w:val="009A21A0"/>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A21A0"/>
  </w:style>
  <w:style w:type="paragraph" w:styleId="Header">
    <w:name w:val="header"/>
    <w:basedOn w:val="Normal"/>
    <w:link w:val="HeaderChar"/>
    <w:uiPriority w:val="99"/>
    <w:unhideWhenUsed/>
    <w:rsid w:val="00695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B9B"/>
  </w:style>
  <w:style w:type="paragraph" w:styleId="Footer">
    <w:name w:val="footer"/>
    <w:basedOn w:val="Normal"/>
    <w:link w:val="FooterChar"/>
    <w:uiPriority w:val="99"/>
    <w:semiHidden/>
    <w:unhideWhenUsed/>
    <w:rsid w:val="00695B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B9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Bos10</b:Tag>
    <b:SourceType>JournalArticle</b:SourceType>
    <b:Guid>{FABF6EEF-EE4E-49BA-AD86-6FE3847A5605}</b:Guid>
    <b:LCID>0</b:LCID>
    <b:Author>
      <b:Author>
        <b:NameList>
          <b:Person>
            <b:Last>Bosse</b:Last>
            <b:First>Hans</b:First>
            <b:Middle>M.</b:Middle>
          </b:Person>
          <b:Person>
            <b:Last>Nickel</b:Last>
            <b:First>Martin</b:First>
          </b:Person>
          <b:Person>
            <b:Last>Huwendiek</b:Last>
            <b:First>Soren</b:First>
          </b:Person>
          <b:Person>
            <b:Last>Junger</b:Last>
            <b:First>Jana</b:First>
          </b:Person>
          <b:Person>
            <b:Last>Schultz</b:Last>
            <b:First>Jobst</b:First>
            <b:Middle>H.</b:Middle>
          </b:Person>
          <b:Person>
            <b:Last>Nikendei</b:Last>
            <b:First>Christopj</b:First>
          </b:Person>
        </b:NameList>
      </b:Author>
    </b:Author>
    <b:Title>Peer role-play and standardised patients in communication training: a comparative study on the student perspective on acceptability, realism, and perceived effect</b:Title>
    <b:Year>2010</b:Year>
    <b:JournalName>BMC Medical Education</b:JournalName>
    <b:RefOrder>1</b:RefOrder>
  </b:Source>
  <b:Source>
    <b:Tag>Ach14</b:Tag>
    <b:SourceType>JournalArticle</b:SourceType>
    <b:Guid>{F229A008-9E5A-4A4D-ABBC-02ECDFF811A8}</b:Guid>
    <b:LCID>0</b:LCID>
    <b:Author>
      <b:Author>
        <b:NameList>
          <b:Person>
            <b:Last>Acharya</b:Last>
            <b:First>Sourya</b:First>
          </b:Person>
          <b:Person>
            <b:Last>Shukla</b:Last>
            <b:First>Samarth</b:First>
          </b:Person>
          <b:Person>
            <b:Last>Acharya</b:Last>
            <b:First>Neema</b:First>
          </b:Person>
          <b:Person>
            <b:Last>Vagha</b:Last>
            <b:First>Jayanta</b:First>
          </b:Person>
          <b:Person>
            <b:Last>Vagha</b:Last>
            <b:First>J.</b:First>
          </b:Person>
        </b:NameList>
      </b:Author>
    </b:Author>
    <b:Title>Role play-an effective tool to teach clinical medicine</b:Title>
    <b:JournalName>Journal Contemporary Medical Education</b:JournalName>
    <b:Year>2014</b:Year>
    <b:Pages>91-106</b:Pages>
    <b:Publisher>2</b:Publisher>
    <b:Volume>23</b:Volume>
    <b:RefOrder>3</b:RefOrder>
  </b:Source>
  <b:Source>
    <b:Tag>Nes07</b:Tag>
    <b:SourceType>JournalArticle</b:SourceType>
    <b:Guid>{7A9B78CE-F59A-4E7F-82CD-8EC27C89AB70}</b:Guid>
    <b:LCID>0</b:LCID>
    <b:Author>
      <b:Author>
        <b:NameList>
          <b:Person>
            <b:Last>Nestel</b:Last>
            <b:First>Debra</b:First>
          </b:Person>
          <b:Person>
            <b:Last>Teirney</b:Last>
            <b:First>Tanya</b:First>
          </b:Person>
        </b:NameList>
      </b:Author>
    </b:Author>
    <b:Title>Role-play for medical students learning about communication: guidelines for maximising benefits</b:Title>
    <b:JournalName>BMC medical education</b:JournalName>
    <b:Year>2007</b:Year>
    <b:Pages>3</b:Pages>
    <b:Volume>7</b:Volume>
    <b:Issue>1</b:Issue>
    <b:RefOrder>4</b:RefOrder>
  </b:Source>
  <b:Source>
    <b:Tag>Mir19</b:Tag>
    <b:SourceType>JournalArticle</b:SourceType>
    <b:Guid>{B687EF31-2C04-4EF2-AB47-781D795B9DB2}</b:Guid>
    <b:LCID>0</b:LCID>
    <b:Author>
      <b:Author>
        <b:NameList>
          <b:Person>
            <b:Last>Mirani</b:Last>
            <b:First>Shahid</b:First>
            <b:Middle>H.</b:Middle>
          </b:Person>
          <b:Person>
            <b:Last>Shaikh</b:Last>
            <b:First>Noor</b:First>
            <b:Middle>A.</b:Middle>
          </b:Person>
          <b:Person>
            <b:Last>Tahir</b:Last>
            <b:First>Amber</b:First>
          </b:Person>
        </b:NameList>
      </b:Author>
    </b:Author>
    <b:Title>Assessment of Clinical Empathy Among Medical Students Using the Jefferson Scale of Empathy-Student Version</b:Title>
    <b:JournalName>Cureus</b:JournalName>
    <b:Year>2019</b:Year>
    <b:Volume>11</b:Volume>
    <b:Issue>2</b:Issue>
    <b:RefOrder>7</b:RefOrder>
  </b:Source>
  <b:Source>
    <b:Tag>Pet</b:Tag>
    <b:SourceType>JournalArticle</b:SourceType>
    <b:Guid>{82BD6763-848F-4997-A785-9B205ED493A1}</b:Guid>
    <b:LCID>0</b:LCID>
    <b:Author>
      <b:Author>
        <b:NameList>
          <b:Person>
            <b:Last>Verdonk</b:Last>
            <b:First>Petra</b:First>
          </b:Person>
          <b:Person>
            <b:Last>Rantzsch</b:Last>
            <b:First>Viktoria</b:First>
          </b:Person>
          <b:Person>
            <b:Last>de Vries</b:Last>
            <b:First>Renko</b:First>
          </b:Person>
          <b:Person>
            <b:Last>Houkes</b:Last>
            <b:First>Inge</b:First>
          </b:Person>
        </b:NameList>
      </b:Author>
    </b:Author>
    <b:Title>Show what you know and deal with stress yourself: a qualitative interview study of medical interns’ perceptions of stress and gender</b:Title>
    <b:JournalName>BMC Medical Education</b:JournalName>
    <b:Year>2014</b:Year>
    <b:Volume>14</b:Volume>
    <b:Issue>96</b:Issue>
    <b:RefOrder>5</b:RefOrder>
  </b:Source>
  <b:Source>
    <b:Tag>Bay13</b:Tag>
    <b:SourceType>JournalArticle</b:SourceType>
    <b:Guid>{30D238B4-9389-47BC-B6A2-CB00C9622D05}</b:Guid>
    <b:LCID>0</b:LCID>
    <b:Author>
      <b:Author>
        <b:NameList>
          <b:Person>
            <b:Last>Bayne</b:Last>
            <b:First>Hanna</b:First>
          </b:Person>
          <b:Person>
            <b:Last>Neukrug</b:Last>
            <b:First>Ed</b:First>
          </b:Person>
          <b:Person>
            <b:Last>Hays</b:Last>
            <b:First>Danica</b:First>
          </b:Person>
          <b:Person>
            <b:Last>Britton</b:Last>
            <b:First>Bruce</b:First>
          </b:Person>
        </b:NameList>
      </b:Author>
    </b:Author>
    <b:Title>A comprehensive model for optimizing empathy in person-centered care</b:Title>
    <b:JournalName>Patient Education and Counseling</b:JournalName>
    <b:Year>2013</b:Year>
    <b:Pages>209-215</b:Pages>
    <b:Month>November</b:Month>
    <b:Volume>93</b:Volume>
    <b:Issue>2</b:Issue>
    <b:RefOrder>2</b:RefOrder>
  </b:Source>
  <b:Source>
    <b:Tag>Lim11</b:Tag>
    <b:SourceType>JournalArticle</b:SourceType>
    <b:Guid>{B671D05A-BEB5-42FD-ABAC-7E1C2BC69935}</b:Guid>
    <b:LCID>0</b:LCID>
    <b:Author>
      <b:Author>
        <b:NameList>
          <b:Person>
            <b:Last>Lim</b:Last>
            <b:First>Mei</b:First>
            <b:Middle>Yii</b:Middle>
          </b:Person>
          <b:Person>
            <b:Last>Leichtenstern</b:Last>
            <b:First>Karin</b:First>
          </b:Person>
          <b:Person>
            <b:Last>Kriegel</b:Last>
            <b:First>Michael</b:First>
          </b:Person>
          <b:Person>
            <b:Last>Enz</b:Last>
            <b:First>Sibylle</b:First>
          </b:Person>
          <b:Person>
            <b:Last>Aylett</b:Last>
            <b:First>Ruth</b:First>
          </b:Person>
          <b:Person>
            <b:Last>Vannini</b:Last>
            <b:First>Natalie</b:First>
          </b:Person>
          <b:Person>
            <b:Last>Hall</b:Last>
            <b:First>Lynne</b:First>
          </b:Person>
          <b:Person>
            <b:Last>Rizzo</b:Last>
            <b:First>Paola</b:First>
          </b:Person>
        </b:NameList>
      </b:Author>
    </b:Author>
    <b:Title>Technology-enhanced role-play for social and emotional learning context – Intercultural empathy</b:Title>
    <b:JournalName>Entertainment Computing</b:JournalName>
    <b:Year>2011</b:Year>
    <b:Pages>223-231</b:Pages>
    <b:Volume>2</b:Volume>
    <b:Issue>4</b:Issue>
    <b:RefOrder>6</b:RefOrder>
  </b:Source>
  <b:Source>
    <b:Tag>Bru10</b:Tag>
    <b:SourceType>JournalArticle</b:SourceType>
    <b:Guid>{60E6D51B-F805-4DA8-B1F1-84C920906A9E}</b:Guid>
    <b:LCID>0</b:LCID>
    <b:Author>
      <b:Author>
        <b:NameList>
          <b:Person>
            <b:Last>Brunero</b:Last>
            <b:First>Scott</b:First>
          </b:Person>
          <b:Person>
            <b:Last>Lamont</b:Last>
            <b:First>Scott</b:First>
          </b:Person>
          <b:Person>
            <b:Last>Coates</b:Last>
            <b:First>Melissa</b:First>
          </b:Person>
        </b:NameList>
      </b:Author>
    </b:Author>
    <b:Title>A review of empathy education in nursing</b:Title>
    <b:JournalName>Nursing Inquiry</b:JournalName>
    <b:Year>2010</b:Year>
    <b:RefOrder>8</b:RefOrder>
  </b:Source>
  <b:Source>
    <b:Tag>Bea15</b:Tag>
    <b:SourceType>JournalArticle</b:SourceType>
    <b:Guid>{7A43A7FD-5A63-46D4-A5F2-9BA0D8EA90B3}</b:Guid>
    <b:LCID>0</b:LCID>
    <b:Author>
      <b:Author>
        <b:NameList>
          <b:Person>
            <b:Last>Bearman</b:Last>
            <b:First>Margaret</b:First>
          </b:Person>
          <b:Person>
            <b:Last>Palermo</b:Last>
            <b:First>Claire</b:First>
          </b:Person>
          <b:Person>
            <b:Last>Allen</b:Last>
            <b:First>Louise</b:First>
          </b:Person>
          <b:Person>
            <b:Last>Williams</b:Last>
            <b:First>Brett</b:First>
          </b:Person>
        </b:NameList>
      </b:Author>
    </b:Author>
    <b:Title>Learning Empathy Through Simuation</b:Title>
    <b:JournalName>Journal of the Society for Simulation in Healthcare</b:JournalName>
    <b:Year>2015</b:Year>
    <b:Pages>308-319</b:Pages>
    <b:Volume>10</b:Volume>
    <b:Issue>5</b:Issue>
    <b:RefOrder>9</b:RefOrder>
  </b:Source>
</b:Sources>
</file>

<file path=customXml/itemProps1.xml><?xml version="1.0" encoding="utf-8"?>
<ds:datastoreItem xmlns:ds="http://schemas.openxmlformats.org/officeDocument/2006/customXml" ds:itemID="{2B1D70D9-70B5-4D8E-AF14-113FC2A31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1138</TotalTime>
  <Pages>11</Pages>
  <Words>2423</Words>
  <Characters>13815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2019-11-14T14:00:00Z</dcterms:created>
  <dcterms:modified xsi:type="dcterms:W3CDTF">2019-11-15T09:06:00Z</dcterms:modified>
</cp:coreProperties>
</file>